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73814CDF" w:rsidR="005C2ED9" w:rsidRPr="00F61D1B"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6071E6">
        <w:rPr>
          <w:rFonts w:ascii="Arial" w:eastAsia="Arial Unicode MS" w:hAnsi="Arial" w:cs="Arial" w:hint="eastAsia"/>
          <w:b/>
          <w:bCs/>
          <w:sz w:val="24"/>
          <w:lang w:eastAsia="ko-KR"/>
        </w:rPr>
        <w:t>5</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w:t>
      </w:r>
      <w:r w:rsidR="00F61D1B">
        <w:rPr>
          <w:rFonts w:ascii="Arial" w:eastAsiaTheme="minorEastAsia" w:hAnsi="Arial" w:hint="eastAsia"/>
          <w:b/>
          <w:i/>
          <w:color w:val="auto"/>
          <w:sz w:val="28"/>
          <w:lang w:eastAsia="ko-KR"/>
        </w:rPr>
        <w:t>10236</w:t>
      </w:r>
    </w:p>
    <w:p w14:paraId="3BDDA17D" w14:textId="05C27BEC" w:rsidR="005C2ED9" w:rsidRPr="009A120A" w:rsidRDefault="006071E6"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Hyderabad</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Oct</w:t>
      </w:r>
      <w:r w:rsidR="005C2ED9" w:rsidRPr="009A120A">
        <w:rPr>
          <w:rFonts w:ascii="Arial" w:eastAsia="Arial Unicode MS" w:hAnsi="Arial" w:cs="Arial"/>
          <w:b/>
          <w:bCs/>
          <w:sz w:val="24"/>
        </w:rPr>
        <w:t xml:space="preserve"> </w:t>
      </w:r>
      <w:r w:rsidR="00157F9C">
        <w:rPr>
          <w:rFonts w:ascii="Arial" w:eastAsiaTheme="minorEastAsia" w:hAnsi="Arial" w:cs="Arial" w:hint="eastAsia"/>
          <w:b/>
          <w:bCs/>
          <w:sz w:val="24"/>
          <w:lang w:eastAsia="ko-KR"/>
        </w:rPr>
        <w:t>1</w:t>
      </w:r>
      <w:r>
        <w:rPr>
          <w:rFonts w:ascii="Arial" w:eastAsiaTheme="minorEastAsia" w:hAnsi="Arial" w:cs="Arial" w:hint="eastAsia"/>
          <w:b/>
          <w:bCs/>
          <w:sz w:val="24"/>
          <w:lang w:eastAsia="ko-KR"/>
        </w:rPr>
        <w:t>4</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Arial Unicode MS" w:hAnsi="Arial" w:cs="Arial" w:hint="eastAsia"/>
          <w:b/>
          <w:bCs/>
          <w:sz w:val="24"/>
          <w:lang w:eastAsia="ko-KR"/>
        </w:rPr>
        <w:t>18</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4A7CD83F"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0A7B7E">
        <w:rPr>
          <w:rFonts w:ascii="Arial" w:hAnsi="Arial" w:cs="Arial" w:hint="eastAsia"/>
          <w:b/>
          <w:lang w:eastAsia="ko-KR"/>
        </w:rPr>
        <w:t xml:space="preserve">A new solution: </w:t>
      </w:r>
      <w:r w:rsidR="00157F9C">
        <w:rPr>
          <w:rFonts w:ascii="Arial" w:hAnsi="Arial" w:cs="Arial" w:hint="eastAsia"/>
          <w:b/>
          <w:lang w:eastAsia="ko-KR"/>
        </w:rPr>
        <w:t xml:space="preserve">AIoT </w:t>
      </w:r>
      <w:r w:rsidR="00196A7C">
        <w:rPr>
          <w:rFonts w:ascii="Arial" w:hAnsi="Arial" w:cs="Arial" w:hint="eastAsia"/>
          <w:b/>
          <w:lang w:eastAsia="ko-KR"/>
        </w:rPr>
        <w:t>exposure services</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55282C6"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DB7AF0">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3663B286" w:rsidR="005C2ED9" w:rsidRPr="00196A7C" w:rsidRDefault="005C2ED9" w:rsidP="005C2ED9">
      <w:pPr>
        <w:jc w:val="both"/>
        <w:rPr>
          <w:rFonts w:ascii="Arial" w:hAnsi="Arial" w:cs="Arial"/>
          <w:i/>
          <w:lang w:eastAsia="ko-KR"/>
        </w:rPr>
      </w:pPr>
      <w:r w:rsidRPr="009A120A">
        <w:rPr>
          <w:rFonts w:ascii="Arial" w:hAnsi="Arial" w:cs="Arial"/>
          <w:i/>
        </w:rPr>
        <w:t xml:space="preserve">Abstract: a new solution to </w:t>
      </w:r>
      <w:r w:rsidR="00196A7C">
        <w:rPr>
          <w:rFonts w:ascii="Arial" w:hAnsi="Arial" w:cs="Arial" w:hint="eastAsia"/>
          <w:i/>
          <w:lang w:eastAsia="ko-KR"/>
        </w:rPr>
        <w:t>capture what AIoT related information can be exposed to external A</w:t>
      </w:r>
      <w:r w:rsidR="00F61D1B">
        <w:rPr>
          <w:rFonts w:ascii="Arial" w:hAnsi="Arial" w:cs="Arial" w:hint="eastAsia"/>
          <w:i/>
          <w:lang w:eastAsia="ko-KR"/>
        </w:rPr>
        <w:t>F</w:t>
      </w:r>
      <w:r w:rsidR="00196A7C">
        <w:rPr>
          <w:rFonts w:ascii="Arial" w:hAnsi="Arial" w:cs="Arial" w:hint="eastAsia"/>
          <w:i/>
          <w:lang w:eastAsia="ko-KR"/>
        </w:rPr>
        <w:t xml:space="preserve">s </w:t>
      </w:r>
    </w:p>
    <w:p w14:paraId="5D3F7A56" w14:textId="77777777" w:rsidR="005C2ED9" w:rsidRPr="009A120A" w:rsidRDefault="005C2ED9" w:rsidP="005C2ED9">
      <w:pPr>
        <w:pStyle w:val="Heading1"/>
      </w:pPr>
      <w:r w:rsidRPr="009A120A">
        <w:t>1. Introduction/Discussion</w:t>
      </w:r>
    </w:p>
    <w:p w14:paraId="0BA30315" w14:textId="1FD7B218" w:rsidR="001315B4" w:rsidRDefault="001315B4" w:rsidP="005C2ED9">
      <w:pPr>
        <w:jc w:val="both"/>
        <w:rPr>
          <w:lang w:eastAsia="zh-CN"/>
        </w:rPr>
      </w:pPr>
      <w:r>
        <w:rPr>
          <w:lang w:eastAsia="zh-CN"/>
        </w:rPr>
        <w:t xml:space="preserve">This contribution is prepared to </w:t>
      </w:r>
      <w:r w:rsidR="00030327">
        <w:rPr>
          <w:rFonts w:hint="eastAsia"/>
          <w:lang w:eastAsia="ko-KR"/>
        </w:rPr>
        <w:t>propose a new solution for Ambient IoT</w:t>
      </w:r>
      <w:r>
        <w:rPr>
          <w:lang w:eastAsia="zh-CN"/>
        </w:rPr>
        <w:t>.</w:t>
      </w:r>
    </w:p>
    <w:p w14:paraId="62F6D104" w14:textId="77777777" w:rsidR="005C2ED9" w:rsidRPr="009A120A" w:rsidRDefault="005C2ED9" w:rsidP="005C2ED9">
      <w:pPr>
        <w:pStyle w:val="Heading1"/>
      </w:pPr>
      <w:r w:rsidRPr="009A120A">
        <w:t>2. Text Proposal</w:t>
      </w:r>
    </w:p>
    <w:p w14:paraId="4D7F3CBD" w14:textId="48DE6E53"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6071E6">
        <w:rPr>
          <w:rFonts w:hint="eastAsia"/>
          <w:lang w:eastAsia="ko-KR"/>
        </w:rPr>
        <w:t>1</w:t>
      </w:r>
      <w:r w:rsidR="0038132A">
        <w:rPr>
          <w:lang w:eastAsia="zh-CN"/>
        </w:rPr>
        <w:t>.</w:t>
      </w:r>
      <w:r w:rsidR="006071E6">
        <w:rPr>
          <w:rFonts w:hint="eastAsia"/>
          <w:lang w:eastAsia="ko-KR"/>
        </w:rPr>
        <w:t>0</w:t>
      </w:r>
      <w:r w:rsidR="0038132A">
        <w:rPr>
          <w:lang w:eastAsia="zh-CN"/>
        </w:rPr>
        <w:t>.0</w:t>
      </w:r>
      <w:r>
        <w:rPr>
          <w:lang w:eastAsia="zh-CN"/>
        </w:rPr>
        <w:t>.</w:t>
      </w:r>
      <w:bookmarkStart w:id="0" w:name="_Toc517082226"/>
      <w:bookmarkStart w:id="1" w:name="_Toc519004414"/>
    </w:p>
    <w:p w14:paraId="0A195C61" w14:textId="57147CA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sidR="00642780">
        <w:rPr>
          <w:rFonts w:ascii="Arial" w:hAnsi="Arial" w:hint="eastAsia"/>
          <w:i/>
          <w:color w:val="FF0000"/>
          <w:sz w:val="24"/>
          <w:lang w:val="en-US" w:eastAsia="ko-KR"/>
        </w:rPr>
        <w:t>(All text is new)</w:t>
      </w:r>
    </w:p>
    <w:p w14:paraId="2A5D3137" w14:textId="0AC73424" w:rsidR="00427857" w:rsidRPr="00172C4D" w:rsidRDefault="00427857" w:rsidP="00427857">
      <w:pPr>
        <w:keepNext/>
        <w:keepLines/>
        <w:spacing w:before="180"/>
        <w:ind w:left="1134" w:hanging="1134"/>
        <w:outlineLvl w:val="1"/>
        <w:rPr>
          <w:rFonts w:ascii="Arial" w:eastAsiaTheme="minorEastAsia" w:hAnsi="Arial"/>
          <w:color w:val="auto"/>
          <w:sz w:val="32"/>
          <w:lang w:eastAsia="ko-KR"/>
        </w:rPr>
      </w:pPr>
      <w:bookmarkStart w:id="3" w:name="_Toc160698660"/>
      <w:bookmarkEnd w:id="2"/>
      <w:r w:rsidRPr="00427857">
        <w:rPr>
          <w:rFonts w:ascii="Arial" w:eastAsia="Times New Roman" w:hAnsi="Arial"/>
          <w:color w:val="auto"/>
          <w:sz w:val="32"/>
          <w:lang w:eastAsia="en-GB"/>
        </w:rPr>
        <w:t>6.</w:t>
      </w:r>
      <w:r w:rsidR="009471C8" w:rsidRPr="00642780">
        <w:rPr>
          <w:rFonts w:ascii="Arial" w:eastAsia="Times New Roman" w:hAnsi="Arial" w:hint="eastAsia"/>
          <w:color w:val="auto"/>
          <w:sz w:val="32"/>
          <w:lang w:eastAsia="en-GB"/>
        </w:rPr>
        <w:t>x</w:t>
      </w:r>
      <w:r w:rsidRPr="00427857">
        <w:rPr>
          <w:rFonts w:ascii="Arial" w:eastAsia="Times New Roman" w:hAnsi="Arial"/>
          <w:color w:val="auto"/>
          <w:sz w:val="32"/>
          <w:lang w:eastAsia="en-GB"/>
        </w:rPr>
        <w:tab/>
        <w:t>Solution #</w:t>
      </w:r>
      <w:r w:rsidR="009471C8" w:rsidRPr="00642780">
        <w:rPr>
          <w:rFonts w:ascii="Arial" w:eastAsia="Times New Roman" w:hAnsi="Arial" w:hint="eastAsia"/>
          <w:color w:val="auto"/>
          <w:sz w:val="32"/>
          <w:lang w:eastAsia="en-GB"/>
        </w:rPr>
        <w:t>x</w:t>
      </w:r>
      <w:r w:rsidRPr="00427857">
        <w:rPr>
          <w:rFonts w:ascii="Arial" w:eastAsia="Times New Roman" w:hAnsi="Arial"/>
          <w:color w:val="auto"/>
          <w:sz w:val="32"/>
          <w:lang w:eastAsia="en-GB"/>
        </w:rPr>
        <w:t xml:space="preserve">: </w:t>
      </w:r>
      <w:bookmarkEnd w:id="3"/>
      <w:r w:rsidR="00157F9C">
        <w:rPr>
          <w:rFonts w:ascii="Arial" w:eastAsiaTheme="minorEastAsia" w:hAnsi="Arial" w:hint="eastAsia"/>
          <w:color w:val="auto"/>
          <w:sz w:val="32"/>
          <w:lang w:eastAsia="ko-KR"/>
        </w:rPr>
        <w:t xml:space="preserve">AIoT </w:t>
      </w:r>
      <w:r w:rsidR="00196A7C">
        <w:rPr>
          <w:rFonts w:ascii="Arial" w:eastAsiaTheme="minorEastAsia" w:hAnsi="Arial" w:hint="eastAsia"/>
          <w:color w:val="auto"/>
          <w:sz w:val="32"/>
          <w:lang w:eastAsia="ko-KR"/>
        </w:rPr>
        <w:t>exposure services</w:t>
      </w:r>
      <w:r w:rsidR="00030327" w:rsidRPr="00642780">
        <w:rPr>
          <w:rFonts w:ascii="Arial" w:eastAsia="Times New Roman" w:hAnsi="Arial"/>
          <w:color w:val="auto"/>
          <w:sz w:val="32"/>
          <w:lang w:eastAsia="en-GB"/>
        </w:rPr>
        <w:t xml:space="preserve"> </w:t>
      </w:r>
    </w:p>
    <w:p w14:paraId="5435E6FE" w14:textId="1ECC2FC0"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4" w:name="_Toc160698661"/>
      <w:r w:rsidRPr="00427857">
        <w:rPr>
          <w:rFonts w:ascii="Arial" w:eastAsia="Times New Roman" w:hAnsi="Arial"/>
          <w:color w:val="auto"/>
          <w:sz w:val="28"/>
          <w:lang w:eastAsia="en-GB"/>
        </w:rPr>
        <w:t>6.</w:t>
      </w:r>
      <w:r w:rsidR="009471C8">
        <w:rPr>
          <w:rFonts w:ascii="Arial" w:eastAsiaTheme="minorEastAsia" w:hAnsi="Arial" w:hint="eastAsia"/>
          <w:color w:val="auto"/>
          <w:sz w:val="28"/>
          <w:lang w:eastAsia="ko-KR"/>
        </w:rPr>
        <w:t>x</w:t>
      </w:r>
      <w:r w:rsidRPr="00427857">
        <w:rPr>
          <w:rFonts w:ascii="Arial" w:eastAsia="Times New Roman" w:hAnsi="Arial"/>
          <w:color w:val="auto"/>
          <w:sz w:val="28"/>
          <w:lang w:eastAsia="en-GB"/>
        </w:rPr>
        <w:t>.1</w:t>
      </w:r>
      <w:r w:rsidRPr="00427857">
        <w:rPr>
          <w:rFonts w:ascii="Arial" w:eastAsia="Times New Roman" w:hAnsi="Arial" w:hint="eastAsia"/>
          <w:color w:val="auto"/>
          <w:sz w:val="28"/>
          <w:lang w:eastAsia="en-GB"/>
        </w:rPr>
        <w:tab/>
        <w:t>Description</w:t>
      </w:r>
      <w:bookmarkEnd w:id="4"/>
    </w:p>
    <w:p w14:paraId="32EB7A36" w14:textId="67E94277" w:rsidR="00427857" w:rsidRDefault="00427857" w:rsidP="00427857">
      <w:pPr>
        <w:rPr>
          <w:rFonts w:eastAsiaTheme="minorEastAsia"/>
          <w:color w:val="auto"/>
          <w:lang w:eastAsia="ko-KR"/>
        </w:rPr>
      </w:pPr>
      <w:r w:rsidRPr="00427857">
        <w:rPr>
          <w:rFonts w:eastAsia="DengXian"/>
          <w:color w:val="auto"/>
          <w:lang w:eastAsia="en-GB"/>
        </w:rPr>
        <w:t xml:space="preserve">This solution </w:t>
      </w:r>
      <w:r w:rsidR="002B2661" w:rsidRPr="00427857">
        <w:rPr>
          <w:rFonts w:eastAsia="DengXian"/>
          <w:color w:val="auto"/>
          <w:lang w:eastAsia="en-GB"/>
        </w:rPr>
        <w:t>addresses</w:t>
      </w:r>
      <w:r w:rsidRPr="00427857">
        <w:rPr>
          <w:rFonts w:eastAsia="DengXian"/>
          <w:color w:val="auto"/>
          <w:lang w:eastAsia="en-GB"/>
        </w:rPr>
        <w:t xml:space="preserve"> </w:t>
      </w:r>
      <w:r w:rsidR="002B2661">
        <w:rPr>
          <w:rFonts w:eastAsiaTheme="minorEastAsia" w:hint="eastAsia"/>
          <w:color w:val="auto"/>
          <w:lang w:eastAsia="ko-KR"/>
        </w:rPr>
        <w:t xml:space="preserve">the following </w:t>
      </w:r>
      <w:r w:rsidRPr="00427857">
        <w:rPr>
          <w:rFonts w:eastAsia="DengXian"/>
          <w:color w:val="auto"/>
          <w:lang w:eastAsia="en-GB"/>
        </w:rPr>
        <w:t>aspect of key issue #3 on Support of Ambient IoT Services.</w:t>
      </w:r>
    </w:p>
    <w:p w14:paraId="4C24456B" w14:textId="77777777" w:rsidR="00114DEE" w:rsidRPr="005839AF" w:rsidRDefault="00114DEE" w:rsidP="00114DEE">
      <w:pPr>
        <w:pStyle w:val="B1"/>
        <w:rPr>
          <w:bCs/>
          <w:lang w:eastAsia="zh-CN"/>
        </w:rPr>
      </w:pPr>
      <w:r>
        <w:rPr>
          <w:rFonts w:eastAsiaTheme="minorEastAsia" w:hint="eastAsia"/>
          <w:color w:val="auto"/>
          <w:lang w:eastAsia="ko-KR"/>
        </w:rPr>
        <w:t>-</w:t>
      </w:r>
      <w:r>
        <w:rPr>
          <w:rFonts w:eastAsiaTheme="minorEastAsia"/>
          <w:color w:val="auto"/>
          <w:lang w:eastAsia="ko-KR"/>
        </w:rPr>
        <w:tab/>
      </w:r>
      <w:r w:rsidRPr="00440706">
        <w:rPr>
          <w:bCs/>
          <w:lang w:eastAsia="zh-CN"/>
        </w:rPr>
        <w:t>Study which of the enabled Ambient IoT services are exposed to AF and how</w:t>
      </w:r>
      <w:r>
        <w:rPr>
          <w:bCs/>
          <w:lang w:eastAsia="zh-CN"/>
        </w:rPr>
        <w:t xml:space="preserve">, e.g. for the case AF requests </w:t>
      </w:r>
      <w:r w:rsidRPr="00440706">
        <w:rPr>
          <w:bCs/>
          <w:lang w:eastAsia="zh-CN"/>
        </w:rPr>
        <w:t>Ambient IoT service</w:t>
      </w:r>
      <w:r>
        <w:rPr>
          <w:bCs/>
          <w:lang w:eastAsia="zh-CN"/>
        </w:rPr>
        <w:t xml:space="preserve"> for an Ambient IoT Device and for a group of Ambient IoT Devices</w:t>
      </w:r>
      <w:r w:rsidRPr="00440706">
        <w:rPr>
          <w:bCs/>
          <w:lang w:eastAsia="zh-CN"/>
        </w:rPr>
        <w:t>.</w:t>
      </w:r>
    </w:p>
    <w:p w14:paraId="5AD481C8" w14:textId="0264BEA2" w:rsidR="005B64D8" w:rsidRDefault="00427857" w:rsidP="00427857">
      <w:pPr>
        <w:rPr>
          <w:rFonts w:eastAsiaTheme="minorEastAsia"/>
          <w:color w:val="auto"/>
          <w:lang w:eastAsia="ko-KR"/>
        </w:rPr>
      </w:pPr>
      <w:r w:rsidRPr="00427857">
        <w:rPr>
          <w:rFonts w:eastAsia="DengXian"/>
          <w:color w:val="auto"/>
          <w:lang w:eastAsia="en-GB"/>
        </w:rPr>
        <w:t xml:space="preserve">This solution </w:t>
      </w:r>
      <w:r w:rsidR="00514C07" w:rsidRPr="00172C4D">
        <w:rPr>
          <w:rFonts w:eastAsia="DengXian" w:hint="eastAsia"/>
          <w:color w:val="auto"/>
          <w:lang w:eastAsia="en-GB"/>
        </w:rPr>
        <w:t>can be</w:t>
      </w:r>
      <w:r w:rsidR="005B64D8" w:rsidRPr="00172C4D">
        <w:rPr>
          <w:rFonts w:eastAsia="DengXian" w:hint="eastAsia"/>
          <w:color w:val="auto"/>
          <w:lang w:eastAsia="en-GB"/>
        </w:rPr>
        <w:t xml:space="preserve"> applied for </w:t>
      </w:r>
      <w:r w:rsidR="00172C4D" w:rsidRPr="00172C4D">
        <w:rPr>
          <w:rFonts w:eastAsia="DengXian" w:hint="eastAsia"/>
          <w:color w:val="auto"/>
          <w:lang w:eastAsia="en-GB"/>
        </w:rPr>
        <w:t>both</w:t>
      </w:r>
      <w:r w:rsidR="005B64D8" w:rsidRPr="00172C4D">
        <w:rPr>
          <w:rFonts w:eastAsia="DengXian" w:hint="eastAsia"/>
          <w:color w:val="auto"/>
          <w:lang w:eastAsia="en-GB"/>
        </w:rPr>
        <w:t xml:space="preserve"> Topology </w:t>
      </w:r>
      <w:r w:rsidR="00172C4D" w:rsidRPr="00172C4D">
        <w:rPr>
          <w:rFonts w:eastAsia="DengXian" w:hint="eastAsia"/>
          <w:color w:val="auto"/>
          <w:lang w:eastAsia="en-GB"/>
        </w:rPr>
        <w:t xml:space="preserve">1 and </w:t>
      </w:r>
      <w:r w:rsidR="005B64D8" w:rsidRPr="00172C4D">
        <w:rPr>
          <w:rFonts w:eastAsia="DengXian" w:hint="eastAsia"/>
          <w:color w:val="auto"/>
          <w:lang w:eastAsia="en-GB"/>
        </w:rPr>
        <w:t xml:space="preserve">2. </w:t>
      </w:r>
    </w:p>
    <w:p w14:paraId="77482C35" w14:textId="3659B650" w:rsidR="002B2661" w:rsidRDefault="002B2661" w:rsidP="002B2661">
      <w:pPr>
        <w:jc w:val="both"/>
        <w:rPr>
          <w:lang w:eastAsia="ko-KR"/>
        </w:rPr>
      </w:pPr>
      <w:r>
        <w:rPr>
          <w:rFonts w:hint="eastAsia"/>
          <w:lang w:eastAsia="ko-KR"/>
        </w:rPr>
        <w:t xml:space="preserve">There are many solutions </w:t>
      </w:r>
      <w:r w:rsidRPr="00FB3D4B">
        <w:rPr>
          <w:lang w:eastAsia="ko-KR"/>
        </w:rPr>
        <w:t xml:space="preserve">captured </w:t>
      </w:r>
      <w:r>
        <w:rPr>
          <w:lang w:eastAsia="ko-KR"/>
        </w:rPr>
        <w:t>in</w:t>
      </w:r>
      <w:r>
        <w:rPr>
          <w:rFonts w:hint="eastAsia"/>
          <w:lang w:eastAsia="ko-KR"/>
        </w:rPr>
        <w:t xml:space="preserve"> this TR covering</w:t>
      </w:r>
      <w:r w:rsidRPr="00FB3D4B">
        <w:rPr>
          <w:lang w:eastAsia="ko-KR"/>
        </w:rPr>
        <w:t xml:space="preserve"> NEF service exposure to enable an external AF to make requests to the 5GC</w:t>
      </w:r>
      <w:r>
        <w:rPr>
          <w:rFonts w:hint="eastAsia"/>
          <w:lang w:eastAsia="ko-KR"/>
        </w:rPr>
        <w:t xml:space="preserve"> for </w:t>
      </w:r>
      <w:r>
        <w:rPr>
          <w:lang w:eastAsia="ko-KR"/>
        </w:rPr>
        <w:t>certain</w:t>
      </w:r>
      <w:r>
        <w:rPr>
          <w:rFonts w:hint="eastAsia"/>
          <w:lang w:eastAsia="ko-KR"/>
        </w:rPr>
        <w:t xml:space="preserve"> AIoT services (e.g., inventory or command)</w:t>
      </w:r>
      <w:r w:rsidRPr="00FB3D4B">
        <w:rPr>
          <w:lang w:eastAsia="ko-KR"/>
        </w:rPr>
        <w:t xml:space="preserve">. However, </w:t>
      </w:r>
      <w:r>
        <w:rPr>
          <w:rFonts w:hint="eastAsia"/>
          <w:lang w:eastAsia="ko-KR"/>
        </w:rPr>
        <w:t>e</w:t>
      </w:r>
      <w:r w:rsidRPr="00FB3D4B">
        <w:rPr>
          <w:lang w:eastAsia="ko-KR"/>
        </w:rPr>
        <w:t>vent exposure, which provides notifications when specific events occur, can also be considered as part of AIoT services. This can supply useful network information to the AF, which could, for example, be used to optimize the AF's internal logic</w:t>
      </w:r>
      <w:r>
        <w:rPr>
          <w:rFonts w:hint="eastAsia"/>
          <w:lang w:eastAsia="ko-KR"/>
        </w:rPr>
        <w:t>.</w:t>
      </w:r>
    </w:p>
    <w:p w14:paraId="03127CBE" w14:textId="7978A1CD" w:rsidR="002B2661" w:rsidRPr="002B2661" w:rsidRDefault="002B2661" w:rsidP="00427857">
      <w:pPr>
        <w:rPr>
          <w:rFonts w:eastAsiaTheme="minorEastAsia"/>
          <w:color w:val="auto"/>
          <w:lang w:eastAsia="ko-KR"/>
        </w:rPr>
      </w:pPr>
      <w:r>
        <w:rPr>
          <w:rFonts w:eastAsiaTheme="minorEastAsia" w:hint="eastAsia"/>
          <w:color w:val="auto"/>
          <w:lang w:eastAsia="ko-KR"/>
        </w:rPr>
        <w:t xml:space="preserve">Thus, this solution proposes several new events that are related to AIoT services and can be exposed through NEF to external AFs. </w:t>
      </w:r>
    </w:p>
    <w:p w14:paraId="42FA6F5F" w14:textId="14568DE1"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5" w:name="_Toc160698662"/>
      <w:r w:rsidRPr="00427857">
        <w:rPr>
          <w:rFonts w:ascii="Arial" w:eastAsia="Times New Roman" w:hAnsi="Arial"/>
          <w:color w:val="auto"/>
          <w:sz w:val="28"/>
          <w:lang w:eastAsia="en-GB"/>
        </w:rPr>
        <w:t>6.</w:t>
      </w:r>
      <w:r w:rsidR="00A3495B">
        <w:rPr>
          <w:rFonts w:ascii="Arial" w:eastAsiaTheme="minorEastAsia" w:hAnsi="Arial" w:hint="eastAsia"/>
          <w:color w:val="auto"/>
          <w:sz w:val="28"/>
          <w:lang w:eastAsia="ko-KR"/>
        </w:rPr>
        <w:t>x</w:t>
      </w:r>
      <w:r w:rsidRPr="00427857">
        <w:rPr>
          <w:rFonts w:ascii="Arial" w:eastAsia="Times New Roman" w:hAnsi="Arial"/>
          <w:color w:val="auto"/>
          <w:sz w:val="28"/>
          <w:lang w:eastAsia="en-GB"/>
        </w:rPr>
        <w:t>.</w:t>
      </w:r>
      <w:r w:rsidR="00852369">
        <w:rPr>
          <w:rFonts w:ascii="Arial" w:eastAsiaTheme="minorEastAsia" w:hAnsi="Arial" w:hint="eastAsia"/>
          <w:color w:val="auto"/>
          <w:sz w:val="28"/>
          <w:lang w:eastAsia="ko-KR"/>
        </w:rPr>
        <w:t>2</w:t>
      </w:r>
      <w:r w:rsidRPr="00427857">
        <w:rPr>
          <w:rFonts w:ascii="Arial" w:eastAsia="Times New Roman" w:hAnsi="Arial"/>
          <w:color w:val="auto"/>
          <w:sz w:val="28"/>
          <w:lang w:eastAsia="en-GB"/>
        </w:rPr>
        <w:tab/>
        <w:t>Procedures</w:t>
      </w:r>
      <w:bookmarkEnd w:id="5"/>
    </w:p>
    <w:p w14:paraId="424B5014" w14:textId="77501DD7" w:rsidR="00427857" w:rsidRDefault="002B2661" w:rsidP="002B2661">
      <w:pPr>
        <w:rPr>
          <w:rFonts w:eastAsiaTheme="minorEastAsia"/>
          <w:color w:val="auto"/>
          <w:lang w:eastAsia="ko-KR"/>
        </w:rPr>
      </w:pPr>
      <w:r w:rsidRPr="002B2661">
        <w:rPr>
          <w:rFonts w:eastAsiaTheme="minorEastAsia" w:hint="eastAsia"/>
          <w:color w:val="auto"/>
          <w:lang w:eastAsia="ko-KR"/>
        </w:rPr>
        <w:t xml:space="preserve">The following events are </w:t>
      </w:r>
      <w:r w:rsidR="0083695F">
        <w:rPr>
          <w:rFonts w:eastAsiaTheme="minorEastAsia" w:hint="eastAsia"/>
          <w:color w:val="auto"/>
          <w:lang w:eastAsia="ko-KR"/>
        </w:rPr>
        <w:t>proposed</w:t>
      </w:r>
      <w:r w:rsidRPr="002B2661">
        <w:rPr>
          <w:rFonts w:eastAsiaTheme="minorEastAsia" w:hint="eastAsia"/>
          <w:color w:val="auto"/>
          <w:lang w:eastAsia="ko-KR"/>
        </w:rPr>
        <w:t xml:space="preserve">. </w:t>
      </w:r>
    </w:p>
    <w:p w14:paraId="38D31A3C" w14:textId="4FC4DC50" w:rsidR="002B2661" w:rsidRDefault="002B2661" w:rsidP="002B2661">
      <w:pPr>
        <w:pStyle w:val="ListParagraph"/>
        <w:numPr>
          <w:ilvl w:val="0"/>
          <w:numId w:val="28"/>
        </w:numPr>
        <w:rPr>
          <w:rFonts w:eastAsiaTheme="minorEastAsia"/>
          <w:color w:val="auto"/>
          <w:lang w:eastAsia="ko-KR"/>
        </w:rPr>
      </w:pPr>
      <w:r>
        <w:rPr>
          <w:rFonts w:eastAsiaTheme="minorEastAsia" w:hint="eastAsia"/>
          <w:color w:val="auto"/>
          <w:lang w:eastAsia="ko-KR"/>
        </w:rPr>
        <w:t>AIoT UE reader overload</w:t>
      </w:r>
    </w:p>
    <w:p w14:paraId="3D523C79" w14:textId="3136FC1B" w:rsidR="002B2661" w:rsidRDefault="00F058DA" w:rsidP="002B2661">
      <w:pPr>
        <w:pStyle w:val="ListParagraph"/>
        <w:numPr>
          <w:ilvl w:val="1"/>
          <w:numId w:val="28"/>
        </w:numPr>
        <w:rPr>
          <w:rFonts w:eastAsiaTheme="minorEastAsia"/>
          <w:color w:val="auto"/>
          <w:lang w:eastAsia="ko-KR"/>
        </w:rPr>
      </w:pPr>
      <w:r>
        <w:rPr>
          <w:rFonts w:eastAsiaTheme="minorEastAsia" w:hint="eastAsia"/>
          <w:color w:val="auto"/>
          <w:lang w:eastAsia="ko-KR"/>
        </w:rPr>
        <w:t xml:space="preserve">Which NF detects the event: </w:t>
      </w:r>
      <w:r w:rsidRPr="00F058DA">
        <w:rPr>
          <w:rFonts w:eastAsiaTheme="minorEastAsia"/>
          <w:color w:val="auto"/>
          <w:lang w:eastAsia="ko-KR"/>
        </w:rPr>
        <w:t xml:space="preserve">This event is detected by the UE reader itself when it becomes overloaded and can no longer function as an AIoT </w:t>
      </w:r>
      <w:r>
        <w:rPr>
          <w:rFonts w:eastAsiaTheme="minorEastAsia" w:hint="eastAsia"/>
          <w:color w:val="auto"/>
          <w:lang w:eastAsia="ko-KR"/>
        </w:rPr>
        <w:t xml:space="preserve">UE </w:t>
      </w:r>
      <w:r w:rsidRPr="00F058DA">
        <w:rPr>
          <w:rFonts w:eastAsiaTheme="minorEastAsia"/>
          <w:color w:val="auto"/>
          <w:lang w:eastAsia="ko-KR"/>
        </w:rPr>
        <w:t>reader due to various factors such as CPU, memory, or battery overload</w:t>
      </w:r>
      <w:r>
        <w:rPr>
          <w:rFonts w:eastAsiaTheme="minorEastAsia" w:hint="eastAsia"/>
          <w:color w:val="auto"/>
          <w:lang w:eastAsia="ko-KR"/>
        </w:rPr>
        <w:t>.</w:t>
      </w:r>
    </w:p>
    <w:p w14:paraId="5F9F7A0D" w14:textId="08E1A16F" w:rsidR="00F058DA" w:rsidRDefault="00F058DA" w:rsidP="002B2661">
      <w:pPr>
        <w:pStyle w:val="ListParagraph"/>
        <w:numPr>
          <w:ilvl w:val="1"/>
          <w:numId w:val="28"/>
        </w:numPr>
        <w:rPr>
          <w:rFonts w:eastAsiaTheme="minorEastAsia"/>
          <w:color w:val="auto"/>
          <w:lang w:eastAsia="ko-KR"/>
        </w:rPr>
      </w:pPr>
      <w:r>
        <w:rPr>
          <w:rFonts w:eastAsiaTheme="minorEastAsia" w:hint="eastAsia"/>
          <w:color w:val="auto"/>
          <w:lang w:eastAsia="ko-KR"/>
        </w:rPr>
        <w:t xml:space="preserve">Description: </w:t>
      </w:r>
      <w:r w:rsidRPr="00F058DA">
        <w:rPr>
          <w:rFonts w:eastAsiaTheme="minorEastAsia"/>
          <w:color w:val="auto"/>
          <w:lang w:eastAsia="ko-KR"/>
        </w:rPr>
        <w:t xml:space="preserve">This event </w:t>
      </w:r>
      <w:r>
        <w:rPr>
          <w:rFonts w:eastAsiaTheme="minorEastAsia" w:hint="eastAsia"/>
          <w:color w:val="auto"/>
          <w:lang w:eastAsia="ko-KR"/>
        </w:rPr>
        <w:t>can be</w:t>
      </w:r>
      <w:r w:rsidRPr="00F058DA">
        <w:rPr>
          <w:rFonts w:eastAsiaTheme="minorEastAsia"/>
          <w:color w:val="auto"/>
          <w:lang w:eastAsia="ko-KR"/>
        </w:rPr>
        <w:t xml:space="preserve"> useful when the AIoT UE reader is selected by the AF. Once the event is triggered by the AF-selected UE reader, the AF can decide to either select other available UEs </w:t>
      </w:r>
      <w:r>
        <w:rPr>
          <w:rFonts w:eastAsiaTheme="minorEastAsia" w:hint="eastAsia"/>
          <w:color w:val="auto"/>
          <w:lang w:eastAsia="ko-KR"/>
        </w:rPr>
        <w:t xml:space="preserve">that are less loaded </w:t>
      </w:r>
      <w:r w:rsidRPr="00F058DA">
        <w:rPr>
          <w:rFonts w:eastAsiaTheme="minorEastAsia"/>
          <w:color w:val="auto"/>
          <w:lang w:eastAsia="ko-KR"/>
        </w:rPr>
        <w:t>or delegate the decision to the 5GC</w:t>
      </w:r>
      <w:r>
        <w:rPr>
          <w:rFonts w:eastAsiaTheme="minorEastAsia" w:hint="eastAsia"/>
          <w:color w:val="auto"/>
          <w:lang w:eastAsia="ko-KR"/>
        </w:rPr>
        <w:t xml:space="preserve"> for subsequent communications.</w:t>
      </w:r>
    </w:p>
    <w:p w14:paraId="2D12DF14" w14:textId="77777777" w:rsidR="0083695F" w:rsidRDefault="0083695F" w:rsidP="0083695F">
      <w:pPr>
        <w:pStyle w:val="ListParagraph"/>
        <w:ind w:left="1440"/>
        <w:rPr>
          <w:rFonts w:eastAsiaTheme="minorEastAsia"/>
          <w:color w:val="auto"/>
          <w:lang w:eastAsia="ko-KR"/>
        </w:rPr>
      </w:pPr>
    </w:p>
    <w:p w14:paraId="24AA821B" w14:textId="6F87BD57" w:rsidR="0083695F" w:rsidRDefault="0083695F" w:rsidP="00056601">
      <w:pPr>
        <w:pStyle w:val="ListParagraph"/>
        <w:numPr>
          <w:ilvl w:val="0"/>
          <w:numId w:val="28"/>
        </w:numPr>
        <w:rPr>
          <w:rFonts w:eastAsiaTheme="minorEastAsia"/>
          <w:color w:val="auto"/>
          <w:lang w:eastAsia="ko-KR"/>
        </w:rPr>
      </w:pPr>
      <w:r>
        <w:rPr>
          <w:rFonts w:eastAsiaTheme="minorEastAsia"/>
          <w:color w:val="auto"/>
          <w:lang w:eastAsia="ko-KR"/>
        </w:rPr>
        <w:t>I</w:t>
      </w:r>
      <w:r>
        <w:rPr>
          <w:rFonts w:eastAsiaTheme="minorEastAsia" w:hint="eastAsia"/>
          <w:color w:val="auto"/>
          <w:lang w:eastAsia="ko-KR"/>
        </w:rPr>
        <w:t>nteraction latency between AIoT UE reader and AIoT Devices</w:t>
      </w:r>
    </w:p>
    <w:p w14:paraId="2BC94C18" w14:textId="0A15BD01" w:rsidR="0083695F" w:rsidRDefault="0083695F" w:rsidP="0083695F">
      <w:pPr>
        <w:pStyle w:val="ListParagraph"/>
        <w:numPr>
          <w:ilvl w:val="1"/>
          <w:numId w:val="28"/>
        </w:numPr>
        <w:rPr>
          <w:rFonts w:eastAsiaTheme="minorEastAsia"/>
          <w:color w:val="auto"/>
          <w:lang w:eastAsia="ko-KR"/>
        </w:rPr>
      </w:pPr>
      <w:r>
        <w:rPr>
          <w:rFonts w:eastAsiaTheme="minorEastAsia" w:hint="eastAsia"/>
          <w:color w:val="auto"/>
          <w:lang w:eastAsia="ko-KR"/>
        </w:rPr>
        <w:t xml:space="preserve">Which NF detects the event: </w:t>
      </w:r>
      <w:r w:rsidRPr="00F058DA">
        <w:rPr>
          <w:rFonts w:eastAsiaTheme="minorEastAsia"/>
          <w:color w:val="auto"/>
          <w:lang w:eastAsia="ko-KR"/>
        </w:rPr>
        <w:t xml:space="preserve">This event is detected by the UE reader itself when it </w:t>
      </w:r>
      <w:r>
        <w:rPr>
          <w:rFonts w:eastAsiaTheme="minorEastAsia" w:hint="eastAsia"/>
          <w:color w:val="auto"/>
          <w:lang w:eastAsia="ko-KR"/>
        </w:rPr>
        <w:t xml:space="preserve">detects the latency is higher than a specific </w:t>
      </w:r>
      <w:r>
        <w:rPr>
          <w:rFonts w:eastAsiaTheme="minorEastAsia"/>
          <w:color w:val="auto"/>
          <w:lang w:eastAsia="ko-KR"/>
        </w:rPr>
        <w:t>threshold</w:t>
      </w:r>
      <w:r>
        <w:rPr>
          <w:rFonts w:eastAsiaTheme="minorEastAsia" w:hint="eastAsia"/>
          <w:color w:val="auto"/>
          <w:lang w:eastAsia="ko-KR"/>
        </w:rPr>
        <w:t xml:space="preserve"> that can be pre-configured or provided by the AF.</w:t>
      </w:r>
    </w:p>
    <w:p w14:paraId="1AC60FF3" w14:textId="4241E013" w:rsidR="0083695F" w:rsidRDefault="0083695F" w:rsidP="0083695F">
      <w:pPr>
        <w:pStyle w:val="ListParagraph"/>
        <w:numPr>
          <w:ilvl w:val="1"/>
          <w:numId w:val="28"/>
        </w:numPr>
        <w:rPr>
          <w:rFonts w:eastAsiaTheme="minorEastAsia"/>
          <w:color w:val="auto"/>
          <w:lang w:eastAsia="ko-KR"/>
        </w:rPr>
      </w:pPr>
      <w:r>
        <w:rPr>
          <w:rFonts w:eastAsiaTheme="minorEastAsia" w:hint="eastAsia"/>
          <w:color w:val="auto"/>
          <w:lang w:eastAsia="ko-KR"/>
        </w:rPr>
        <w:lastRenderedPageBreak/>
        <w:t xml:space="preserve">Description: </w:t>
      </w:r>
      <w:r w:rsidRPr="00F058DA">
        <w:rPr>
          <w:rFonts w:eastAsiaTheme="minorEastAsia"/>
          <w:color w:val="auto"/>
          <w:lang w:eastAsia="ko-KR"/>
        </w:rPr>
        <w:t xml:space="preserve">This event </w:t>
      </w:r>
      <w:r>
        <w:rPr>
          <w:rFonts w:eastAsiaTheme="minorEastAsia" w:hint="eastAsia"/>
          <w:color w:val="auto"/>
          <w:lang w:eastAsia="ko-KR"/>
        </w:rPr>
        <w:t>can be</w:t>
      </w:r>
      <w:r w:rsidRPr="00F058DA">
        <w:rPr>
          <w:rFonts w:eastAsiaTheme="minorEastAsia"/>
          <w:color w:val="auto"/>
          <w:lang w:eastAsia="ko-KR"/>
        </w:rPr>
        <w:t xml:space="preserve"> useful when the AIoT UE reader is selected by the AF. </w:t>
      </w:r>
      <w:r>
        <w:rPr>
          <w:rFonts w:eastAsiaTheme="minorEastAsia"/>
          <w:color w:val="auto"/>
          <w:lang w:eastAsia="ko-KR"/>
        </w:rPr>
        <w:t>T</w:t>
      </w:r>
      <w:r>
        <w:rPr>
          <w:rFonts w:eastAsiaTheme="minorEastAsia" w:hint="eastAsia"/>
          <w:color w:val="auto"/>
          <w:lang w:eastAsia="ko-KR"/>
        </w:rPr>
        <w:t>he AF can take actions to mitigate the latency issues (e.g. switching to another reader or reattempting communication)</w:t>
      </w:r>
    </w:p>
    <w:p w14:paraId="0CE04F02" w14:textId="77777777" w:rsidR="0083695F" w:rsidRDefault="0083695F" w:rsidP="0083695F">
      <w:pPr>
        <w:pStyle w:val="ListParagraph"/>
        <w:ind w:left="1440"/>
        <w:rPr>
          <w:rFonts w:eastAsiaTheme="minorEastAsia"/>
          <w:color w:val="auto"/>
          <w:lang w:eastAsia="ko-KR"/>
        </w:rPr>
      </w:pPr>
    </w:p>
    <w:p w14:paraId="0359BB55" w14:textId="4883A950" w:rsidR="000416A9" w:rsidRDefault="000416A9" w:rsidP="00056601">
      <w:pPr>
        <w:pStyle w:val="ListParagraph"/>
        <w:numPr>
          <w:ilvl w:val="0"/>
          <w:numId w:val="28"/>
        </w:numPr>
        <w:rPr>
          <w:rFonts w:eastAsiaTheme="minorEastAsia"/>
          <w:color w:val="auto"/>
          <w:lang w:eastAsia="ko-KR"/>
        </w:rPr>
      </w:pPr>
      <w:r>
        <w:rPr>
          <w:rFonts w:eastAsiaTheme="minorEastAsia" w:hint="eastAsia"/>
          <w:color w:val="auto"/>
          <w:lang w:eastAsia="ko-KR"/>
        </w:rPr>
        <w:t>AIoT UE reader positioning capability enabled</w:t>
      </w:r>
    </w:p>
    <w:p w14:paraId="381A9B89" w14:textId="54DBDAA3" w:rsidR="000416A9" w:rsidRDefault="000416A9" w:rsidP="000416A9">
      <w:pPr>
        <w:pStyle w:val="ListParagraph"/>
        <w:numPr>
          <w:ilvl w:val="1"/>
          <w:numId w:val="28"/>
        </w:numPr>
        <w:rPr>
          <w:rFonts w:eastAsiaTheme="minorEastAsia"/>
          <w:color w:val="auto"/>
          <w:lang w:eastAsia="ko-KR"/>
        </w:rPr>
      </w:pPr>
      <w:r>
        <w:rPr>
          <w:rFonts w:eastAsiaTheme="minorEastAsia" w:hint="eastAsia"/>
          <w:color w:val="auto"/>
          <w:lang w:eastAsia="ko-KR"/>
        </w:rPr>
        <w:t xml:space="preserve">Which NF detects the event: </w:t>
      </w:r>
      <w:r w:rsidRPr="000416A9">
        <w:rPr>
          <w:rFonts w:eastAsiaTheme="minorEastAsia"/>
          <w:color w:val="auto"/>
          <w:lang w:eastAsia="ko-KR"/>
        </w:rPr>
        <w:t>Th</w:t>
      </w:r>
      <w:r>
        <w:rPr>
          <w:rFonts w:eastAsiaTheme="minorEastAsia" w:hint="eastAsia"/>
          <w:color w:val="auto"/>
          <w:lang w:eastAsia="ko-KR"/>
        </w:rPr>
        <w:t>is</w:t>
      </w:r>
      <w:r w:rsidRPr="000416A9">
        <w:rPr>
          <w:rFonts w:eastAsiaTheme="minorEastAsia"/>
          <w:color w:val="auto"/>
          <w:lang w:eastAsia="ko-KR"/>
        </w:rPr>
        <w:t xml:space="preserve"> event is detected by the UE or BS reader itself whenever the AIoT reader's positioning capabilities are enabled. This can occur, for example, by changing the positioning settings for UEs, due to limited resources at the gNB, or by triggering a positioning request from the LMF or AIoTF to the gNB</w:t>
      </w:r>
      <w:r>
        <w:rPr>
          <w:rFonts w:eastAsiaTheme="minorEastAsia" w:hint="eastAsia"/>
          <w:color w:val="auto"/>
          <w:lang w:eastAsia="ko-KR"/>
        </w:rPr>
        <w:t>.</w:t>
      </w:r>
    </w:p>
    <w:p w14:paraId="5FA7815C" w14:textId="3718A7A5" w:rsidR="000416A9" w:rsidRDefault="000416A9" w:rsidP="000416A9">
      <w:pPr>
        <w:pStyle w:val="ListParagraph"/>
        <w:numPr>
          <w:ilvl w:val="1"/>
          <w:numId w:val="28"/>
        </w:numPr>
        <w:rPr>
          <w:rFonts w:eastAsiaTheme="minorEastAsia"/>
          <w:color w:val="auto"/>
          <w:lang w:eastAsia="ko-KR"/>
        </w:rPr>
      </w:pPr>
      <w:r>
        <w:rPr>
          <w:rFonts w:eastAsiaTheme="minorEastAsia" w:hint="eastAsia"/>
          <w:color w:val="auto"/>
          <w:lang w:eastAsia="ko-KR"/>
        </w:rPr>
        <w:t xml:space="preserve">Description: </w:t>
      </w:r>
      <w:r w:rsidRPr="000416A9">
        <w:rPr>
          <w:rFonts w:eastAsiaTheme="minorEastAsia"/>
          <w:color w:val="auto"/>
          <w:lang w:eastAsia="ko-KR"/>
        </w:rPr>
        <w:t>This event helps the AF determine whether AIoT device positioning, based on the reader’s positioning capability, is feasible or not</w:t>
      </w:r>
      <w:r>
        <w:rPr>
          <w:rFonts w:eastAsiaTheme="minorEastAsia" w:hint="eastAsia"/>
          <w:color w:val="auto"/>
          <w:lang w:eastAsia="ko-KR"/>
        </w:rPr>
        <w:t>.</w:t>
      </w:r>
    </w:p>
    <w:p w14:paraId="2EA11ECB" w14:textId="544D72DE" w:rsidR="000416A9" w:rsidRDefault="000416A9" w:rsidP="000416A9">
      <w:pPr>
        <w:pStyle w:val="ListParagraph"/>
        <w:ind w:left="1440"/>
        <w:rPr>
          <w:rFonts w:eastAsiaTheme="minorEastAsia"/>
          <w:color w:val="auto"/>
          <w:lang w:eastAsia="ko-KR"/>
        </w:rPr>
      </w:pPr>
    </w:p>
    <w:p w14:paraId="72EA6EB2" w14:textId="18B8C491" w:rsidR="00056601" w:rsidRDefault="0046191F" w:rsidP="00056601">
      <w:pPr>
        <w:pStyle w:val="ListParagraph"/>
        <w:numPr>
          <w:ilvl w:val="0"/>
          <w:numId w:val="28"/>
        </w:numPr>
        <w:rPr>
          <w:rFonts w:eastAsiaTheme="minorEastAsia"/>
          <w:color w:val="auto"/>
          <w:lang w:eastAsia="ko-KR"/>
        </w:rPr>
      </w:pPr>
      <w:r>
        <w:rPr>
          <w:rFonts w:eastAsiaTheme="minorEastAsia" w:hint="eastAsia"/>
          <w:color w:val="auto"/>
          <w:lang w:eastAsia="ko-KR"/>
        </w:rPr>
        <w:t>Geo-fencing location for AIoT UE reader</w:t>
      </w:r>
    </w:p>
    <w:p w14:paraId="3AC548B6" w14:textId="5BBE8016" w:rsidR="0046191F" w:rsidRDefault="0046191F" w:rsidP="0046191F">
      <w:pPr>
        <w:pStyle w:val="ListParagraph"/>
        <w:numPr>
          <w:ilvl w:val="1"/>
          <w:numId w:val="28"/>
        </w:numPr>
        <w:rPr>
          <w:rFonts w:eastAsiaTheme="minorEastAsia"/>
          <w:color w:val="auto"/>
          <w:lang w:eastAsia="ko-KR"/>
        </w:rPr>
      </w:pPr>
      <w:r>
        <w:rPr>
          <w:rFonts w:eastAsiaTheme="minorEastAsia" w:hint="eastAsia"/>
          <w:color w:val="auto"/>
          <w:lang w:eastAsia="ko-KR"/>
        </w:rPr>
        <w:t>Which NF detects the event: This event is detected by the AMF when a target UE moves in or out the intended location.</w:t>
      </w:r>
    </w:p>
    <w:p w14:paraId="052CF070" w14:textId="46399548" w:rsidR="0046191F" w:rsidRPr="0046191F" w:rsidRDefault="0046191F" w:rsidP="00A73E0D">
      <w:pPr>
        <w:pStyle w:val="ListParagraph"/>
        <w:numPr>
          <w:ilvl w:val="1"/>
          <w:numId w:val="28"/>
        </w:numPr>
        <w:rPr>
          <w:rFonts w:eastAsiaTheme="minorEastAsia"/>
          <w:color w:val="auto"/>
          <w:lang w:eastAsia="ko-KR"/>
        </w:rPr>
      </w:pPr>
      <w:r w:rsidRPr="0046191F">
        <w:rPr>
          <w:rFonts w:eastAsiaTheme="minorEastAsia" w:hint="eastAsia"/>
          <w:color w:val="auto"/>
          <w:lang w:eastAsia="ko-KR"/>
        </w:rPr>
        <w:t xml:space="preserve">Description: </w:t>
      </w:r>
      <w:r w:rsidRPr="0046191F">
        <w:rPr>
          <w:rFonts w:eastAsiaTheme="minorEastAsia"/>
          <w:color w:val="auto"/>
          <w:lang w:eastAsia="ko-KR"/>
        </w:rPr>
        <w:t>This event can be useful when the AIoT UE reader is selected by the AF. When the event occurs, the AF can determine that the target reader UE has reached the desired location and can now be used as a reader, or that the target reader UE is no longer in the location, prompting the need to select another UE as the reader.</w:t>
      </w:r>
    </w:p>
    <w:p w14:paraId="04CF40E4" w14:textId="615BFA1C" w:rsidR="002B2661" w:rsidRPr="00C94EC7" w:rsidRDefault="00C94EC7" w:rsidP="00C94EC7">
      <w:pPr>
        <w:rPr>
          <w:rFonts w:eastAsiaTheme="minorEastAsia"/>
          <w:color w:val="auto"/>
          <w:lang w:eastAsia="ko-KR"/>
        </w:rPr>
      </w:pPr>
      <w:r w:rsidRPr="00C94EC7">
        <w:rPr>
          <w:rFonts w:eastAsiaTheme="minorEastAsia"/>
          <w:color w:val="auto"/>
          <w:lang w:eastAsia="ko-KR"/>
        </w:rPr>
        <w:t>To support the aforementioned AIoT-related events, it is proposed to extend the existing NEF event exposure mechanism</w:t>
      </w:r>
      <w:r w:rsidR="00562CEB" w:rsidRPr="00C94EC7">
        <w:rPr>
          <w:rFonts w:eastAsiaTheme="minorEastAsia" w:hint="eastAsia"/>
          <w:color w:val="auto"/>
          <w:lang w:eastAsia="ko-KR"/>
        </w:rPr>
        <w:t xml:space="preserve">. </w:t>
      </w:r>
    </w:p>
    <w:p w14:paraId="32FCC135" w14:textId="77777777" w:rsidR="00963F00" w:rsidRPr="00963F00" w:rsidRDefault="00963F00" w:rsidP="00963F00">
      <w:pPr>
        <w:ind w:left="720" w:hanging="360"/>
        <w:rPr>
          <w:rFonts w:eastAsiaTheme="minorEastAsia"/>
          <w:color w:val="auto"/>
          <w:lang w:eastAsia="ko-KR"/>
        </w:rPr>
      </w:pPr>
    </w:p>
    <w:p w14:paraId="6CB412E1" w14:textId="6E9FB222" w:rsidR="00427857" w:rsidRPr="00427857" w:rsidRDefault="00427857" w:rsidP="00427857">
      <w:pPr>
        <w:keepNext/>
        <w:keepLines/>
        <w:spacing w:before="120"/>
        <w:ind w:left="1134" w:hanging="1134"/>
        <w:outlineLvl w:val="2"/>
        <w:rPr>
          <w:rFonts w:ascii="Arial" w:eastAsia="Times New Roman" w:hAnsi="Arial"/>
          <w:color w:val="auto"/>
          <w:sz w:val="28"/>
          <w:lang w:eastAsia="zh-CN"/>
        </w:rPr>
      </w:pPr>
      <w:bookmarkStart w:id="6" w:name="_Toc160698663"/>
      <w:r w:rsidRPr="00427857">
        <w:rPr>
          <w:rFonts w:ascii="Arial" w:eastAsia="Times New Roman" w:hAnsi="Arial"/>
          <w:color w:val="auto"/>
          <w:sz w:val="28"/>
          <w:lang w:eastAsia="en-GB"/>
        </w:rPr>
        <w:t>6.</w:t>
      </w:r>
      <w:r w:rsidR="007E4583">
        <w:rPr>
          <w:rFonts w:ascii="Arial" w:eastAsiaTheme="minorEastAsia" w:hAnsi="Arial" w:hint="eastAsia"/>
          <w:color w:val="auto"/>
          <w:sz w:val="28"/>
          <w:lang w:eastAsia="ko-KR"/>
        </w:rPr>
        <w:t>x</w:t>
      </w:r>
      <w:r w:rsidRPr="00427857">
        <w:rPr>
          <w:rFonts w:ascii="Arial" w:eastAsia="Times New Roman" w:hAnsi="Arial"/>
          <w:color w:val="auto"/>
          <w:sz w:val="28"/>
          <w:lang w:eastAsia="en-GB"/>
        </w:rPr>
        <w:t>.</w:t>
      </w:r>
      <w:r w:rsidR="00852369">
        <w:rPr>
          <w:rFonts w:ascii="Arial" w:eastAsiaTheme="minorEastAsia" w:hAnsi="Arial" w:hint="eastAsia"/>
          <w:color w:val="auto"/>
          <w:sz w:val="28"/>
          <w:lang w:eastAsia="ko-KR"/>
        </w:rPr>
        <w:t>3</w:t>
      </w:r>
      <w:r w:rsidRPr="00427857">
        <w:rPr>
          <w:rFonts w:ascii="Arial" w:eastAsia="Times New Roman" w:hAnsi="Arial"/>
          <w:color w:val="auto"/>
          <w:sz w:val="28"/>
          <w:lang w:eastAsia="en-GB"/>
        </w:rPr>
        <w:tab/>
        <w:t>Impacts on services, entities and interfaces</w:t>
      </w:r>
      <w:bookmarkEnd w:id="6"/>
    </w:p>
    <w:p w14:paraId="4823991C" w14:textId="7435806F" w:rsidR="009B7BC0" w:rsidRDefault="007B66DF" w:rsidP="009B7BC0">
      <w:pPr>
        <w:ind w:left="360"/>
        <w:rPr>
          <w:rFonts w:eastAsia="Times New Roman"/>
          <w:color w:val="auto"/>
          <w:lang w:eastAsia="en-GB"/>
        </w:rPr>
      </w:pPr>
      <w:r>
        <w:rPr>
          <w:rFonts w:eastAsiaTheme="minorEastAsia" w:hint="eastAsia"/>
          <w:color w:val="auto"/>
          <w:lang w:eastAsia="ko-KR"/>
        </w:rPr>
        <w:t>NEF:</w:t>
      </w:r>
    </w:p>
    <w:p w14:paraId="60105FAA" w14:textId="365EE3D6" w:rsidR="00077884" w:rsidRPr="00A3495B" w:rsidRDefault="009B7BC0" w:rsidP="007B66DF">
      <w:pPr>
        <w:pStyle w:val="ListParagraph"/>
        <w:numPr>
          <w:ilvl w:val="0"/>
          <w:numId w:val="17"/>
        </w:numPr>
        <w:rPr>
          <w:rFonts w:eastAsia="Times New Roman"/>
          <w:color w:val="auto"/>
          <w:lang w:eastAsia="en-GB"/>
        </w:rPr>
      </w:pPr>
      <w:r>
        <w:rPr>
          <w:rFonts w:eastAsia="Times New Roman"/>
          <w:color w:val="auto"/>
          <w:lang w:eastAsia="en-GB"/>
        </w:rPr>
        <w:t xml:space="preserve">Supports </w:t>
      </w:r>
      <w:r w:rsidR="007B66DF">
        <w:rPr>
          <w:rFonts w:eastAsiaTheme="minorEastAsia" w:hint="eastAsia"/>
          <w:color w:val="auto"/>
          <w:lang w:eastAsia="ko-KR"/>
        </w:rPr>
        <w:t>extending the existing exposure mechanism to offer the new AIoT related events.</w:t>
      </w:r>
    </w:p>
    <w:p w14:paraId="60599135" w14:textId="65010BFB" w:rsidR="009B7BC0" w:rsidRDefault="007B66DF" w:rsidP="009B7BC0">
      <w:pPr>
        <w:ind w:left="360"/>
        <w:rPr>
          <w:rFonts w:eastAsia="Times New Roman"/>
          <w:color w:val="auto"/>
          <w:lang w:eastAsia="en-GB"/>
        </w:rPr>
      </w:pPr>
      <w:r>
        <w:rPr>
          <w:rFonts w:eastAsiaTheme="minorEastAsia" w:hint="eastAsia"/>
          <w:color w:val="auto"/>
          <w:lang w:eastAsia="ko-KR"/>
        </w:rPr>
        <w:t>AMF:</w:t>
      </w:r>
    </w:p>
    <w:p w14:paraId="6880D5BE" w14:textId="4A24D9C0" w:rsidR="009B7BC0" w:rsidRPr="00A3495B" w:rsidRDefault="009B7BC0" w:rsidP="00A3495B">
      <w:pPr>
        <w:pStyle w:val="ListParagraph"/>
        <w:numPr>
          <w:ilvl w:val="0"/>
          <w:numId w:val="17"/>
        </w:numPr>
        <w:rPr>
          <w:rFonts w:eastAsia="Times New Roman"/>
          <w:color w:val="auto"/>
          <w:lang w:eastAsia="en-GB"/>
        </w:rPr>
      </w:pPr>
      <w:r>
        <w:rPr>
          <w:rFonts w:eastAsia="Times New Roman"/>
          <w:color w:val="auto"/>
          <w:lang w:eastAsia="en-GB"/>
        </w:rPr>
        <w:t xml:space="preserve">Supports </w:t>
      </w:r>
      <w:r w:rsidR="007B66DF">
        <w:rPr>
          <w:rFonts w:eastAsiaTheme="minorEastAsia" w:hint="eastAsia"/>
          <w:color w:val="auto"/>
          <w:lang w:eastAsia="ko-KR"/>
        </w:rPr>
        <w:t xml:space="preserve">detecting and reporting the geo-fencing location event </w:t>
      </w:r>
      <w:r>
        <w:rPr>
          <w:rFonts w:eastAsia="Times New Roman"/>
          <w:color w:val="auto"/>
          <w:lang w:eastAsia="en-GB"/>
        </w:rPr>
        <w:t xml:space="preserve"> </w:t>
      </w:r>
    </w:p>
    <w:p w14:paraId="6ABF6625" w14:textId="3B9B4D26" w:rsidR="0038132A" w:rsidRPr="00BC2DBD" w:rsidRDefault="007B66DF" w:rsidP="00BC2DBD">
      <w:pPr>
        <w:ind w:left="360"/>
        <w:rPr>
          <w:rFonts w:eastAsiaTheme="minorEastAsia"/>
          <w:color w:val="auto"/>
          <w:lang w:eastAsia="ko-KR"/>
        </w:rPr>
      </w:pPr>
      <w:r>
        <w:rPr>
          <w:rFonts w:eastAsiaTheme="minorEastAsia" w:hint="eastAsia"/>
          <w:color w:val="auto"/>
          <w:lang w:eastAsia="ko-KR"/>
        </w:rPr>
        <w:t>AIoT reader</w:t>
      </w:r>
      <w:r w:rsidR="00BC2DBD" w:rsidRPr="00BC2DBD">
        <w:rPr>
          <w:rFonts w:eastAsiaTheme="minorEastAsia" w:hint="eastAsia"/>
          <w:color w:val="auto"/>
          <w:lang w:eastAsia="ko-KR"/>
        </w:rPr>
        <w:t xml:space="preserve">: </w:t>
      </w:r>
    </w:p>
    <w:p w14:paraId="330600BB" w14:textId="7CD7FAA9" w:rsidR="00077884" w:rsidRPr="00A3495B" w:rsidRDefault="00077884" w:rsidP="00077884">
      <w:pPr>
        <w:pStyle w:val="ListParagraph"/>
        <w:numPr>
          <w:ilvl w:val="0"/>
          <w:numId w:val="17"/>
        </w:numPr>
        <w:rPr>
          <w:rFonts w:eastAsia="Times New Roman"/>
          <w:color w:val="auto"/>
          <w:lang w:eastAsia="en-GB"/>
        </w:rPr>
      </w:pPr>
      <w:r>
        <w:rPr>
          <w:rFonts w:eastAsia="Times New Roman"/>
          <w:color w:val="auto"/>
          <w:lang w:eastAsia="en-GB"/>
        </w:rPr>
        <w:t xml:space="preserve">Supports </w:t>
      </w:r>
      <w:r w:rsidR="007B66DF">
        <w:rPr>
          <w:rFonts w:eastAsiaTheme="minorEastAsia" w:hint="eastAsia"/>
          <w:color w:val="auto"/>
          <w:lang w:eastAsia="ko-KR"/>
        </w:rPr>
        <w:t xml:space="preserve">detecting and reporting the events of overload, latency and positioning capability enabled </w:t>
      </w: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C7C17" w14:textId="77777777" w:rsidR="00BB77AF" w:rsidRDefault="00BB77AF">
      <w:pPr>
        <w:spacing w:after="0"/>
      </w:pPr>
      <w:r>
        <w:separator/>
      </w:r>
    </w:p>
  </w:endnote>
  <w:endnote w:type="continuationSeparator" w:id="0">
    <w:p w14:paraId="07991E88" w14:textId="77777777" w:rsidR="00BB77AF" w:rsidRDefault="00BB77AF">
      <w:pPr>
        <w:spacing w:after="0"/>
      </w:pPr>
      <w:r>
        <w:continuationSeparator/>
      </w:r>
    </w:p>
  </w:endnote>
  <w:endnote w:type="continuationNotice" w:id="1">
    <w:p w14:paraId="17849B59"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81668" w14:textId="77777777" w:rsidR="00BB77AF" w:rsidRDefault="00BB77AF">
      <w:pPr>
        <w:spacing w:after="0"/>
      </w:pPr>
      <w:r>
        <w:separator/>
      </w:r>
    </w:p>
  </w:footnote>
  <w:footnote w:type="continuationSeparator" w:id="0">
    <w:p w14:paraId="06DD2476" w14:textId="77777777" w:rsidR="00BB77AF" w:rsidRDefault="00BB77AF">
      <w:pPr>
        <w:spacing w:after="0"/>
      </w:pPr>
      <w:r>
        <w:continuationSeparator/>
      </w:r>
    </w:p>
  </w:footnote>
  <w:footnote w:type="continuationNotice" w:id="1">
    <w:p w14:paraId="69F5FBFD"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953F7"/>
    <w:multiLevelType w:val="hybridMultilevel"/>
    <w:tmpl w:val="F44A66E0"/>
    <w:lvl w:ilvl="0" w:tplc="A58EE25C">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1F1A74"/>
    <w:multiLevelType w:val="hybridMultilevel"/>
    <w:tmpl w:val="158A9E3A"/>
    <w:lvl w:ilvl="0" w:tplc="A58EE25C">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94F4A"/>
    <w:multiLevelType w:val="hybridMultilevel"/>
    <w:tmpl w:val="82268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57918"/>
    <w:multiLevelType w:val="hybridMultilevel"/>
    <w:tmpl w:val="AE9C4316"/>
    <w:lvl w:ilvl="0" w:tplc="A58EE25C">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5956AB"/>
    <w:multiLevelType w:val="hybridMultilevel"/>
    <w:tmpl w:val="88FA7D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3"/>
  </w:num>
  <w:num w:numId="2" w16cid:durableId="130757340">
    <w:abstractNumId w:val="23"/>
  </w:num>
  <w:num w:numId="3" w16cid:durableId="1576084102">
    <w:abstractNumId w:val="4"/>
  </w:num>
  <w:num w:numId="4" w16cid:durableId="1070738748">
    <w:abstractNumId w:val="26"/>
  </w:num>
  <w:num w:numId="5" w16cid:durableId="733085804">
    <w:abstractNumId w:val="10"/>
  </w:num>
  <w:num w:numId="6" w16cid:durableId="1496917471">
    <w:abstractNumId w:val="5"/>
  </w:num>
  <w:num w:numId="7" w16cid:durableId="1727752841">
    <w:abstractNumId w:val="0"/>
  </w:num>
  <w:num w:numId="8" w16cid:durableId="596862759">
    <w:abstractNumId w:val="17"/>
  </w:num>
  <w:num w:numId="9" w16cid:durableId="1334338541">
    <w:abstractNumId w:val="25"/>
  </w:num>
  <w:num w:numId="10" w16cid:durableId="941692267">
    <w:abstractNumId w:val="2"/>
  </w:num>
  <w:num w:numId="11" w16cid:durableId="1931542714">
    <w:abstractNumId w:val="27"/>
  </w:num>
  <w:num w:numId="12" w16cid:durableId="835727199">
    <w:abstractNumId w:val="16"/>
  </w:num>
  <w:num w:numId="13" w16cid:durableId="1759130465">
    <w:abstractNumId w:val="22"/>
  </w:num>
  <w:num w:numId="14" w16cid:durableId="40908243">
    <w:abstractNumId w:val="6"/>
  </w:num>
  <w:num w:numId="15" w16cid:durableId="854273442">
    <w:abstractNumId w:val="11"/>
  </w:num>
  <w:num w:numId="16" w16cid:durableId="1756978711">
    <w:abstractNumId w:val="20"/>
  </w:num>
  <w:num w:numId="17" w16cid:durableId="755440601">
    <w:abstractNumId w:val="8"/>
  </w:num>
  <w:num w:numId="18" w16cid:durableId="955718351">
    <w:abstractNumId w:val="14"/>
  </w:num>
  <w:num w:numId="19" w16cid:durableId="205143214">
    <w:abstractNumId w:val="21"/>
  </w:num>
  <w:num w:numId="20" w16cid:durableId="84696834">
    <w:abstractNumId w:val="12"/>
  </w:num>
  <w:num w:numId="21" w16cid:durableId="1910184973">
    <w:abstractNumId w:val="18"/>
  </w:num>
  <w:num w:numId="22" w16cid:durableId="1801528950">
    <w:abstractNumId w:val="9"/>
  </w:num>
  <w:num w:numId="23" w16cid:durableId="14662685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5595367">
    <w:abstractNumId w:val="13"/>
  </w:num>
  <w:num w:numId="25" w16cid:durableId="305400882">
    <w:abstractNumId w:val="7"/>
  </w:num>
  <w:num w:numId="26" w16cid:durableId="1668512169">
    <w:abstractNumId w:val="1"/>
  </w:num>
  <w:num w:numId="27" w16cid:durableId="343361852">
    <w:abstractNumId w:val="15"/>
  </w:num>
  <w:num w:numId="28" w16cid:durableId="8142194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1469D"/>
    <w:rsid w:val="00030327"/>
    <w:rsid w:val="000416A9"/>
    <w:rsid w:val="00046D94"/>
    <w:rsid w:val="00056601"/>
    <w:rsid w:val="00060827"/>
    <w:rsid w:val="00063B9C"/>
    <w:rsid w:val="00077884"/>
    <w:rsid w:val="000A209D"/>
    <w:rsid w:val="000A32AF"/>
    <w:rsid w:val="000A557E"/>
    <w:rsid w:val="000A7B7E"/>
    <w:rsid w:val="000C01AA"/>
    <w:rsid w:val="000D3A42"/>
    <w:rsid w:val="00114DEE"/>
    <w:rsid w:val="001315B4"/>
    <w:rsid w:val="00135E7B"/>
    <w:rsid w:val="00157F9C"/>
    <w:rsid w:val="00171B7D"/>
    <w:rsid w:val="00172C4D"/>
    <w:rsid w:val="001743DD"/>
    <w:rsid w:val="00181831"/>
    <w:rsid w:val="00196A7C"/>
    <w:rsid w:val="001D561A"/>
    <w:rsid w:val="00203A52"/>
    <w:rsid w:val="002423B7"/>
    <w:rsid w:val="002561F3"/>
    <w:rsid w:val="002633F8"/>
    <w:rsid w:val="00263B1E"/>
    <w:rsid w:val="002827DA"/>
    <w:rsid w:val="0029173B"/>
    <w:rsid w:val="002A58DC"/>
    <w:rsid w:val="002B2661"/>
    <w:rsid w:val="002B5F9F"/>
    <w:rsid w:val="002E280F"/>
    <w:rsid w:val="002F52B7"/>
    <w:rsid w:val="0031545C"/>
    <w:rsid w:val="003401D0"/>
    <w:rsid w:val="0036019C"/>
    <w:rsid w:val="0038132A"/>
    <w:rsid w:val="00390283"/>
    <w:rsid w:val="003D2F9C"/>
    <w:rsid w:val="003D6FF3"/>
    <w:rsid w:val="003F1C6F"/>
    <w:rsid w:val="00421ADF"/>
    <w:rsid w:val="00421E87"/>
    <w:rsid w:val="00427857"/>
    <w:rsid w:val="004336C2"/>
    <w:rsid w:val="004471CA"/>
    <w:rsid w:val="0046191F"/>
    <w:rsid w:val="00464FD0"/>
    <w:rsid w:val="00470C32"/>
    <w:rsid w:val="00477B14"/>
    <w:rsid w:val="004B4CA2"/>
    <w:rsid w:val="004F450E"/>
    <w:rsid w:val="00514C07"/>
    <w:rsid w:val="00551152"/>
    <w:rsid w:val="00562CEB"/>
    <w:rsid w:val="0059455D"/>
    <w:rsid w:val="00594D4E"/>
    <w:rsid w:val="00597FE5"/>
    <w:rsid w:val="005B64D8"/>
    <w:rsid w:val="005C2ED9"/>
    <w:rsid w:val="005E3842"/>
    <w:rsid w:val="005E40A8"/>
    <w:rsid w:val="00604F19"/>
    <w:rsid w:val="006071E6"/>
    <w:rsid w:val="00625A6B"/>
    <w:rsid w:val="00631551"/>
    <w:rsid w:val="006319D4"/>
    <w:rsid w:val="00642780"/>
    <w:rsid w:val="00657F4D"/>
    <w:rsid w:val="006A5B8E"/>
    <w:rsid w:val="006B03AF"/>
    <w:rsid w:val="006D66D7"/>
    <w:rsid w:val="006F42B7"/>
    <w:rsid w:val="00705604"/>
    <w:rsid w:val="0071701D"/>
    <w:rsid w:val="00745FC6"/>
    <w:rsid w:val="0075663F"/>
    <w:rsid w:val="007739A7"/>
    <w:rsid w:val="00792A68"/>
    <w:rsid w:val="0079448B"/>
    <w:rsid w:val="00794773"/>
    <w:rsid w:val="007B66DF"/>
    <w:rsid w:val="007B7D83"/>
    <w:rsid w:val="007D7FA1"/>
    <w:rsid w:val="007E4583"/>
    <w:rsid w:val="00820664"/>
    <w:rsid w:val="00824CCC"/>
    <w:rsid w:val="0083695F"/>
    <w:rsid w:val="00844319"/>
    <w:rsid w:val="00844E50"/>
    <w:rsid w:val="00852369"/>
    <w:rsid w:val="0088565F"/>
    <w:rsid w:val="008B7716"/>
    <w:rsid w:val="008B7D2A"/>
    <w:rsid w:val="008C5660"/>
    <w:rsid w:val="008C675B"/>
    <w:rsid w:val="008C68D4"/>
    <w:rsid w:val="008D27CC"/>
    <w:rsid w:val="008E2C8E"/>
    <w:rsid w:val="008E3FF3"/>
    <w:rsid w:val="00910FB1"/>
    <w:rsid w:val="0094506A"/>
    <w:rsid w:val="009471C8"/>
    <w:rsid w:val="00963F00"/>
    <w:rsid w:val="009B187A"/>
    <w:rsid w:val="009B7BC0"/>
    <w:rsid w:val="009D7172"/>
    <w:rsid w:val="009E302F"/>
    <w:rsid w:val="009F34FF"/>
    <w:rsid w:val="009F6257"/>
    <w:rsid w:val="00A01F41"/>
    <w:rsid w:val="00A04654"/>
    <w:rsid w:val="00A04FE8"/>
    <w:rsid w:val="00A26742"/>
    <w:rsid w:val="00A32367"/>
    <w:rsid w:val="00A3495B"/>
    <w:rsid w:val="00A34DF0"/>
    <w:rsid w:val="00A47AFC"/>
    <w:rsid w:val="00A56548"/>
    <w:rsid w:val="00A71A86"/>
    <w:rsid w:val="00AA105E"/>
    <w:rsid w:val="00AC1C71"/>
    <w:rsid w:val="00AC1D4E"/>
    <w:rsid w:val="00AD45EC"/>
    <w:rsid w:val="00AE0975"/>
    <w:rsid w:val="00AE2D49"/>
    <w:rsid w:val="00B50231"/>
    <w:rsid w:val="00B52872"/>
    <w:rsid w:val="00B61E6A"/>
    <w:rsid w:val="00B75197"/>
    <w:rsid w:val="00B77297"/>
    <w:rsid w:val="00BA41A0"/>
    <w:rsid w:val="00BA4488"/>
    <w:rsid w:val="00BA466B"/>
    <w:rsid w:val="00BA5DC9"/>
    <w:rsid w:val="00BB384B"/>
    <w:rsid w:val="00BB77AF"/>
    <w:rsid w:val="00BC2DBD"/>
    <w:rsid w:val="00BD4E55"/>
    <w:rsid w:val="00C17285"/>
    <w:rsid w:val="00C5120F"/>
    <w:rsid w:val="00C65629"/>
    <w:rsid w:val="00C67714"/>
    <w:rsid w:val="00C7040D"/>
    <w:rsid w:val="00C7362A"/>
    <w:rsid w:val="00C94EC7"/>
    <w:rsid w:val="00C94F7E"/>
    <w:rsid w:val="00CD045A"/>
    <w:rsid w:val="00CD0E5E"/>
    <w:rsid w:val="00CE31BD"/>
    <w:rsid w:val="00D0029A"/>
    <w:rsid w:val="00D10AEB"/>
    <w:rsid w:val="00D370A7"/>
    <w:rsid w:val="00D649B3"/>
    <w:rsid w:val="00D70E9D"/>
    <w:rsid w:val="00D92205"/>
    <w:rsid w:val="00D950FB"/>
    <w:rsid w:val="00DB7AF0"/>
    <w:rsid w:val="00DC27DF"/>
    <w:rsid w:val="00DC43D1"/>
    <w:rsid w:val="00DD2832"/>
    <w:rsid w:val="00DD2FB1"/>
    <w:rsid w:val="00DE00CD"/>
    <w:rsid w:val="00E068C8"/>
    <w:rsid w:val="00E401BF"/>
    <w:rsid w:val="00E44176"/>
    <w:rsid w:val="00E6566F"/>
    <w:rsid w:val="00E825A3"/>
    <w:rsid w:val="00EA6164"/>
    <w:rsid w:val="00EB7EB4"/>
    <w:rsid w:val="00EC35A5"/>
    <w:rsid w:val="00EE476A"/>
    <w:rsid w:val="00EE6CE3"/>
    <w:rsid w:val="00F058DA"/>
    <w:rsid w:val="00F15656"/>
    <w:rsid w:val="00F545D3"/>
    <w:rsid w:val="00F61D1B"/>
    <w:rsid w:val="00F739C2"/>
    <w:rsid w:val="00F803C9"/>
    <w:rsid w:val="00F8170D"/>
    <w:rsid w:val="00FC7751"/>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55403140">
      <w:bodyDiv w:val="1"/>
      <w:marLeft w:val="0"/>
      <w:marRight w:val="0"/>
      <w:marTop w:val="0"/>
      <w:marBottom w:val="0"/>
      <w:divBdr>
        <w:top w:val="none" w:sz="0" w:space="0" w:color="auto"/>
        <w:left w:val="none" w:sz="0" w:space="0" w:color="auto"/>
        <w:bottom w:val="none" w:sz="0" w:space="0" w:color="auto"/>
        <w:right w:val="none" w:sz="0" w:space="0" w:color="auto"/>
      </w:divBdr>
      <w:divsChild>
        <w:div w:id="1307511015">
          <w:marLeft w:val="0"/>
          <w:marRight w:val="0"/>
          <w:marTop w:val="0"/>
          <w:marBottom w:val="0"/>
          <w:divBdr>
            <w:top w:val="none" w:sz="0" w:space="0" w:color="auto"/>
            <w:left w:val="none" w:sz="0" w:space="0" w:color="auto"/>
            <w:bottom w:val="none" w:sz="0" w:space="0" w:color="auto"/>
            <w:right w:val="none" w:sz="0" w:space="0" w:color="auto"/>
          </w:divBdr>
          <w:divsChild>
            <w:div w:id="443886834">
              <w:marLeft w:val="0"/>
              <w:marRight w:val="0"/>
              <w:marTop w:val="0"/>
              <w:marBottom w:val="0"/>
              <w:divBdr>
                <w:top w:val="none" w:sz="0" w:space="0" w:color="auto"/>
                <w:left w:val="none" w:sz="0" w:space="0" w:color="auto"/>
                <w:bottom w:val="none" w:sz="0" w:space="0" w:color="auto"/>
                <w:right w:val="none" w:sz="0" w:space="0" w:color="auto"/>
              </w:divBdr>
              <w:divsChild>
                <w:div w:id="1616594189">
                  <w:marLeft w:val="0"/>
                  <w:marRight w:val="0"/>
                  <w:marTop w:val="0"/>
                  <w:marBottom w:val="0"/>
                  <w:divBdr>
                    <w:top w:val="none" w:sz="0" w:space="0" w:color="auto"/>
                    <w:left w:val="none" w:sz="0" w:space="0" w:color="auto"/>
                    <w:bottom w:val="none" w:sz="0" w:space="0" w:color="auto"/>
                    <w:right w:val="none" w:sz="0" w:space="0" w:color="auto"/>
                  </w:divBdr>
                  <w:divsChild>
                    <w:div w:id="214894635">
                      <w:marLeft w:val="0"/>
                      <w:marRight w:val="0"/>
                      <w:marTop w:val="0"/>
                      <w:marBottom w:val="0"/>
                      <w:divBdr>
                        <w:top w:val="none" w:sz="0" w:space="0" w:color="auto"/>
                        <w:left w:val="none" w:sz="0" w:space="0" w:color="auto"/>
                        <w:bottom w:val="none" w:sz="0" w:space="0" w:color="auto"/>
                        <w:right w:val="none" w:sz="0" w:space="0" w:color="auto"/>
                      </w:divBdr>
                      <w:divsChild>
                        <w:div w:id="1838840427">
                          <w:marLeft w:val="0"/>
                          <w:marRight w:val="0"/>
                          <w:marTop w:val="0"/>
                          <w:marBottom w:val="0"/>
                          <w:divBdr>
                            <w:top w:val="none" w:sz="0" w:space="0" w:color="auto"/>
                            <w:left w:val="none" w:sz="0" w:space="0" w:color="auto"/>
                            <w:bottom w:val="none" w:sz="0" w:space="0" w:color="auto"/>
                            <w:right w:val="none" w:sz="0" w:space="0" w:color="auto"/>
                          </w:divBdr>
                          <w:divsChild>
                            <w:div w:id="103272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332972">
      <w:bodyDiv w:val="1"/>
      <w:marLeft w:val="0"/>
      <w:marRight w:val="0"/>
      <w:marTop w:val="0"/>
      <w:marBottom w:val="0"/>
      <w:divBdr>
        <w:top w:val="none" w:sz="0" w:space="0" w:color="auto"/>
        <w:left w:val="none" w:sz="0" w:space="0" w:color="auto"/>
        <w:bottom w:val="none" w:sz="0" w:space="0" w:color="auto"/>
        <w:right w:val="none" w:sz="0" w:space="0" w:color="auto"/>
      </w:divBdr>
      <w:divsChild>
        <w:div w:id="1466200630">
          <w:marLeft w:val="0"/>
          <w:marRight w:val="0"/>
          <w:marTop w:val="0"/>
          <w:marBottom w:val="0"/>
          <w:divBdr>
            <w:top w:val="none" w:sz="0" w:space="0" w:color="auto"/>
            <w:left w:val="none" w:sz="0" w:space="0" w:color="auto"/>
            <w:bottom w:val="none" w:sz="0" w:space="0" w:color="auto"/>
            <w:right w:val="none" w:sz="0" w:space="0" w:color="auto"/>
          </w:divBdr>
          <w:divsChild>
            <w:div w:id="1617250528">
              <w:marLeft w:val="0"/>
              <w:marRight w:val="0"/>
              <w:marTop w:val="0"/>
              <w:marBottom w:val="0"/>
              <w:divBdr>
                <w:top w:val="none" w:sz="0" w:space="0" w:color="auto"/>
                <w:left w:val="none" w:sz="0" w:space="0" w:color="auto"/>
                <w:bottom w:val="none" w:sz="0" w:space="0" w:color="auto"/>
                <w:right w:val="none" w:sz="0" w:space="0" w:color="auto"/>
              </w:divBdr>
              <w:divsChild>
                <w:div w:id="448205147">
                  <w:marLeft w:val="0"/>
                  <w:marRight w:val="0"/>
                  <w:marTop w:val="0"/>
                  <w:marBottom w:val="0"/>
                  <w:divBdr>
                    <w:top w:val="none" w:sz="0" w:space="0" w:color="auto"/>
                    <w:left w:val="none" w:sz="0" w:space="0" w:color="auto"/>
                    <w:bottom w:val="none" w:sz="0" w:space="0" w:color="auto"/>
                    <w:right w:val="none" w:sz="0" w:space="0" w:color="auto"/>
                  </w:divBdr>
                  <w:divsChild>
                    <w:div w:id="1937514325">
                      <w:marLeft w:val="0"/>
                      <w:marRight w:val="0"/>
                      <w:marTop w:val="0"/>
                      <w:marBottom w:val="0"/>
                      <w:divBdr>
                        <w:top w:val="none" w:sz="0" w:space="0" w:color="auto"/>
                        <w:left w:val="none" w:sz="0" w:space="0" w:color="auto"/>
                        <w:bottom w:val="none" w:sz="0" w:space="0" w:color="auto"/>
                        <w:right w:val="none" w:sz="0" w:space="0" w:color="auto"/>
                      </w:divBdr>
                      <w:divsChild>
                        <w:div w:id="347685125">
                          <w:marLeft w:val="0"/>
                          <w:marRight w:val="0"/>
                          <w:marTop w:val="0"/>
                          <w:marBottom w:val="0"/>
                          <w:divBdr>
                            <w:top w:val="none" w:sz="0" w:space="0" w:color="auto"/>
                            <w:left w:val="none" w:sz="0" w:space="0" w:color="auto"/>
                            <w:bottom w:val="none" w:sz="0" w:space="0" w:color="auto"/>
                            <w:right w:val="none" w:sz="0" w:space="0" w:color="auto"/>
                          </w:divBdr>
                          <w:divsChild>
                            <w:div w:id="74542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RBI5PAMIO524-1616901215-30088</_dlc_DocId>
    <_dlc_DocIdUrl xmlns="71c5aaf6-e6ce-465b-b873-5148d2a4c105">
      <Url>https://nokia.sharepoint.com/sites/gxp/_layouts/15/DocIdRedir.aspx?ID=RBI5PAMIO524-1616901215-30088</Url>
      <Description>RBI5PAMIO524-1616901215-30088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B5F881A-66BF-4386-85CA-CE8A8938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EA1AEDED-ACD9-483E-AF76-FA9FE2D8D918}">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5700</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98</cp:revision>
  <dcterms:created xsi:type="dcterms:W3CDTF">2024-02-07T02:23:00Z</dcterms:created>
  <dcterms:modified xsi:type="dcterms:W3CDTF">2024-10-04T04:23:00Z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33702903-9af4-49d0-8e03-a44e01363086</vt:lpwstr>
  </property>
  <property fmtid="{D5CDD505-2E9C-101B-9397-08002B2CF9AE}" pid="4" name="MediaServiceImageTags">
    <vt:lpwstr/>
  </property>
</Properties>
</file>